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5D72" w14:textId="77777777" w:rsidR="005B7B5A" w:rsidRDefault="00000000">
      <w:pPr>
        <w:pStyle w:val="Heading1"/>
        <w:rPr>
          <w:rFonts w:ascii="Calibri" w:hAnsi="Calibri" w:cs="Calibri"/>
          <w:color w:val="FF0000"/>
        </w:rPr>
      </w:pPr>
      <w:r>
        <w:rPr>
          <w:noProof/>
        </w:rPr>
        <mc:AlternateContent>
          <mc:Choice Requires="wpg">
            <w:drawing>
              <wp:anchor distT="0" distB="0" distL="114300" distR="114300" simplePos="0" relativeHeight="251655680" behindDoc="0" locked="0" layoutInCell="1" allowOverlap="1" wp14:anchorId="723E3EEA" wp14:editId="59009496">
                <wp:simplePos x="0" y="0"/>
                <wp:positionH relativeFrom="margin">
                  <wp:posOffset>1228725</wp:posOffset>
                </wp:positionH>
                <wp:positionV relativeFrom="margin">
                  <wp:posOffset>-342900</wp:posOffset>
                </wp:positionV>
                <wp:extent cx="2760345"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27833" name="Picture 1"/>
                        <pic:cNvPicPr>
                          <a:picLocks noChangeAspect="1"/>
                        </pic:cNvPicPr>
                      </pic:nvPicPr>
                      <pic:blipFill>
                        <a:blip r:embed="rId8"/>
                        <a:stretch/>
                      </pic:blipFill>
                      <pic:spPr bwMode="auto">
                        <a:xfrm>
                          <a:off x="0" y="0"/>
                          <a:ext cx="2760345" cy="1581149"/>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argin-left:96.75pt;mso-position-horizontal:absolute;mso-position-vertical-relative:margin;margin-top:-27.00pt;mso-position-vertical:absolute;width:217.35pt;height:124.50pt;mso-wrap-distance-left:9.00pt;mso-wrap-distance-top:0.00pt;mso-wrap-distance-right:9.00pt;mso-wrap-distance-bottom:0.00pt;rotation:0;z-index:1;" stroked="false">
                <w10:wrap type="square"/>
                <v:imagedata r:id="rId10" o:title=""/>
                <o:lock v:ext="edit" rotation="t"/>
              </v:shape>
            </w:pict>
          </mc:Fallback>
        </mc:AlternateContent>
      </w:r>
    </w:p>
    <w:p w14:paraId="496B9809" w14:textId="77777777" w:rsidR="005B7B5A" w:rsidRDefault="005B7B5A"/>
    <w:p w14:paraId="3FB45EE5" w14:textId="77777777" w:rsidR="005B7B5A" w:rsidRDefault="005B7B5A">
      <w:pPr>
        <w:pStyle w:val="Heading1"/>
        <w:rPr>
          <w:rFonts w:ascii="Calibri" w:eastAsia="Calibri" w:hAnsi="Calibri" w:cs="Calibri"/>
          <w:color w:val="FF0000"/>
        </w:rPr>
      </w:pPr>
    </w:p>
    <w:p w14:paraId="05A957ED" w14:textId="77777777" w:rsidR="005B7B5A" w:rsidRDefault="00000000">
      <w:pPr>
        <w:pStyle w:val="Heading1"/>
        <w:rPr>
          <w:rFonts w:ascii="Calibri" w:eastAsia="Calibri" w:hAnsi="Calibri" w:cs="Calibri"/>
          <w:color w:val="FF0000"/>
        </w:rPr>
      </w:pPr>
      <w:r>
        <w:rPr>
          <w:rFonts w:ascii="Calibri" w:eastAsia="Calibri" w:hAnsi="Calibri" w:cs="Calibri"/>
          <w:color w:val="FF0000"/>
        </w:rPr>
        <w:t>Wenzel’s Theft Reduction Support Report</w:t>
      </w:r>
    </w:p>
    <w:p w14:paraId="4C9EE5AE" w14:textId="77777777" w:rsidR="005B7B5A" w:rsidRDefault="00000000">
      <w:pPr>
        <w:rPr>
          <w:rFonts w:ascii="Calibri" w:hAnsi="Calibri" w:cs="Calibri"/>
        </w:rPr>
      </w:pPr>
      <w:r>
        <w:rPr>
          <w:rFonts w:ascii="Calibri" w:eastAsia="Calibri" w:hAnsi="Calibri" w:cs="Calibri"/>
        </w:rPr>
        <w:t>Location: Ealing Broadway</w:t>
      </w:r>
    </w:p>
    <w:p w14:paraId="06DE221A" w14:textId="77777777" w:rsidR="005B7B5A" w:rsidRDefault="00000000">
      <w:pPr>
        <w:rPr>
          <w:rFonts w:ascii="Calibri" w:hAnsi="Calibri" w:cs="Calibri"/>
        </w:rPr>
      </w:pPr>
      <w:r>
        <w:rPr>
          <w:rFonts w:ascii="Calibri" w:eastAsia="Calibri" w:hAnsi="Calibri" w:cs="Calibri"/>
        </w:rPr>
        <w:t>Date of Operation: Tuesday 29th April 2025</w:t>
      </w:r>
    </w:p>
    <w:p w14:paraId="12CEE36A" w14:textId="77777777" w:rsidR="005B7B5A" w:rsidRDefault="00000000">
      <w:pPr>
        <w:rPr>
          <w:rFonts w:ascii="Calibri" w:hAnsi="Calibri" w:cs="Calibri"/>
        </w:rPr>
      </w:pPr>
      <w:r>
        <w:rPr>
          <w:rFonts w:ascii="Calibri" w:eastAsia="Calibri" w:hAnsi="Calibri" w:cs="Calibri"/>
        </w:rPr>
        <w:t>Deployed Officers: Plain Clothes Team</w:t>
      </w:r>
    </w:p>
    <w:p w14:paraId="25F7142E" w14:textId="77777777" w:rsidR="005B7B5A" w:rsidRDefault="00000000">
      <w:pPr>
        <w:rPr>
          <w:rFonts w:ascii="Calibri" w:hAnsi="Calibri" w:cs="Calibri"/>
        </w:rPr>
      </w:pPr>
      <w:r>
        <w:rPr>
          <w:rFonts w:ascii="Calibri" w:eastAsia="Calibri" w:hAnsi="Calibri" w:cs="Calibri"/>
        </w:rPr>
        <w:t>Duration: 08:00 – 14:00</w:t>
      </w:r>
    </w:p>
    <w:p w14:paraId="12CDE4CE" w14:textId="77777777" w:rsidR="005B7B5A" w:rsidRDefault="00000000">
      <w:pPr>
        <w:pStyle w:val="Heading2"/>
        <w:rPr>
          <w:rFonts w:ascii="Calibri" w:hAnsi="Calibri" w:cs="Calibri"/>
          <w:color w:val="FF0000"/>
        </w:rPr>
      </w:pPr>
      <w:r>
        <w:rPr>
          <w:rFonts w:ascii="Calibri" w:eastAsia="Calibri" w:hAnsi="Calibri" w:cs="Calibri"/>
          <w:color w:val="FF0000"/>
        </w:rPr>
        <w:t>Background</w:t>
      </w:r>
    </w:p>
    <w:p w14:paraId="7FCF803C" w14:textId="298EDA2A" w:rsidR="005B7B5A" w:rsidRDefault="00000000">
      <w:pPr>
        <w:rPr>
          <w:rFonts w:ascii="Calibri" w:hAnsi="Calibri" w:cs="Calibri"/>
        </w:rPr>
      </w:pPr>
      <w:r>
        <w:rPr>
          <w:rFonts w:ascii="Calibri" w:eastAsia="Calibri" w:hAnsi="Calibri" w:cs="Calibri"/>
        </w:rPr>
        <w:t xml:space="preserve">Following concerns raised by Wenzel’s staff regarding persistent, daily shoplifting from their Ealing Broadway branch, a covert operation was requested by </w:t>
      </w:r>
      <w:r w:rsidR="002E10FC">
        <w:rPr>
          <w:rFonts w:ascii="Calibri" w:eastAsia="Calibri" w:hAnsi="Calibri" w:cs="Calibri"/>
        </w:rPr>
        <w:t xml:space="preserve">Make It </w:t>
      </w:r>
      <w:r>
        <w:rPr>
          <w:rFonts w:ascii="Calibri" w:eastAsia="Calibri" w:hAnsi="Calibri" w:cs="Calibri"/>
        </w:rPr>
        <w:t>Ealing BID to assess and respond to the ongoing issue.</w:t>
      </w:r>
      <w:r>
        <w:rPr>
          <w:rFonts w:ascii="Calibri" w:eastAsia="Calibri" w:hAnsi="Calibri" w:cs="Calibri"/>
        </w:rPr>
        <w:br/>
      </w:r>
      <w:r>
        <w:rPr>
          <w:rFonts w:ascii="Calibri" w:eastAsia="Calibri" w:hAnsi="Calibri" w:cs="Calibri"/>
        </w:rPr>
        <w:br/>
        <w:t xml:space="preserve">Staff reported that thefts occur as early as 5:30 AM and continue throughout the day. Offenders—often homeless individuals, but not exclusively—are entering the premises and walking out with sandwiches, drinks, and other items, without any attempt to pay. Many offenders appear to be repeat visitors who are aware that there is no security </w:t>
      </w:r>
      <w:r w:rsidR="002E10FC">
        <w:rPr>
          <w:rFonts w:ascii="Calibri" w:eastAsia="Calibri" w:hAnsi="Calibri" w:cs="Calibri"/>
        </w:rPr>
        <w:t>presence,</w:t>
      </w:r>
      <w:r>
        <w:rPr>
          <w:rFonts w:ascii="Calibri" w:eastAsia="Calibri" w:hAnsi="Calibri" w:cs="Calibri"/>
        </w:rPr>
        <w:t xml:space="preserve"> and that staff are unlikely to intervene. The general perception among offenders is that the shop is an “easy target.”</w:t>
      </w:r>
    </w:p>
    <w:p w14:paraId="56776FFD" w14:textId="77777777" w:rsidR="005B7B5A" w:rsidRDefault="00000000">
      <w:pPr>
        <w:pStyle w:val="Heading2"/>
        <w:rPr>
          <w:rFonts w:ascii="Calibri" w:hAnsi="Calibri" w:cs="Calibri"/>
          <w:color w:val="FF0000"/>
        </w:rPr>
      </w:pPr>
      <w:r>
        <w:rPr>
          <w:rFonts w:ascii="Calibri" w:eastAsia="Calibri" w:hAnsi="Calibri" w:cs="Calibri"/>
          <w:color w:val="FF0000"/>
        </w:rPr>
        <w:t>Operation Summary – 29/04/2025</w:t>
      </w:r>
    </w:p>
    <w:p w14:paraId="3F100FDB" w14:textId="77777777" w:rsidR="005B7B5A" w:rsidRDefault="00000000">
      <w:pPr>
        <w:rPr>
          <w:rFonts w:ascii="Calibri" w:hAnsi="Calibri" w:cs="Calibri"/>
        </w:rPr>
      </w:pPr>
      <w:r>
        <w:rPr>
          <w:rFonts w:ascii="Calibri" w:eastAsia="Calibri" w:hAnsi="Calibri" w:cs="Calibri"/>
        </w:rPr>
        <w:t>A targeted covert deployment was carried out from 08:00 to 14:00. During this time:</w:t>
      </w:r>
      <w:r>
        <w:rPr>
          <w:rFonts w:ascii="Calibri" w:eastAsia="Calibri" w:hAnsi="Calibri" w:cs="Calibri"/>
        </w:rPr>
        <w:br/>
        <w:t>- 8 confirmed thefts were intercepted and prevented.</w:t>
      </w:r>
      <w:r>
        <w:rPr>
          <w:rFonts w:ascii="Calibri" w:eastAsia="Calibri" w:hAnsi="Calibri" w:cs="Calibri"/>
        </w:rPr>
        <w:br/>
        <w:t>- 2 additional attempted thefts were deterred due to the visible presence and intervention of the team.</w:t>
      </w:r>
      <w:r>
        <w:rPr>
          <w:rFonts w:ascii="Calibri" w:eastAsia="Calibri" w:hAnsi="Calibri" w:cs="Calibri"/>
        </w:rPr>
        <w:br/>
        <w:t>- All stolen goods were recovered and returned to the store.</w:t>
      </w:r>
      <w:r>
        <w:rPr>
          <w:rFonts w:ascii="Calibri" w:eastAsia="Calibri" w:hAnsi="Calibri" w:cs="Calibri"/>
        </w:rPr>
        <w:br/>
        <w:t>- Police attended during the day to gather information on two known offenders for Community Protection Notice (CPN) proceedings.</w:t>
      </w:r>
      <w:r>
        <w:rPr>
          <w:rFonts w:ascii="Calibri" w:eastAsia="Calibri" w:hAnsi="Calibri" w:cs="Calibri"/>
        </w:rPr>
        <w:br/>
      </w:r>
      <w:r>
        <w:rPr>
          <w:rFonts w:ascii="Calibri" w:eastAsia="Calibri" w:hAnsi="Calibri" w:cs="Calibri"/>
        </w:rPr>
        <w:br/>
        <w:t>One detained individual openly admitted he was stealing because it was “so easy” and even stated he was “glad he finally got caught.”</w:t>
      </w:r>
    </w:p>
    <w:p w14:paraId="663D2151" w14:textId="77777777" w:rsidR="005B7B5A" w:rsidRDefault="00000000">
      <w:pPr>
        <w:pStyle w:val="Heading2"/>
        <w:rPr>
          <w:rFonts w:ascii="Calibri" w:hAnsi="Calibri" w:cs="Calibri"/>
          <w:color w:val="FF0000"/>
        </w:rPr>
      </w:pPr>
      <w:r>
        <w:rPr>
          <w:rFonts w:ascii="Calibri" w:eastAsia="Calibri" w:hAnsi="Calibri" w:cs="Calibri"/>
          <w:color w:val="FF0000"/>
        </w:rPr>
        <w:lastRenderedPageBreak/>
        <w:t>Key Observations</w:t>
      </w:r>
    </w:p>
    <w:p w14:paraId="52341BAF" w14:textId="77777777" w:rsidR="005B7B5A" w:rsidRDefault="00000000">
      <w:pPr>
        <w:rPr>
          <w:rFonts w:ascii="Calibri" w:hAnsi="Calibri" w:cs="Calibri"/>
        </w:rPr>
      </w:pPr>
      <w:r>
        <w:rPr>
          <w:rFonts w:ascii="Calibri" w:eastAsia="Calibri" w:hAnsi="Calibri" w:cs="Calibri"/>
        </w:rPr>
        <w:t>- Offenders typically remain in the store for under 60 seconds.</w:t>
      </w:r>
      <w:r>
        <w:rPr>
          <w:rFonts w:ascii="Calibri" w:eastAsia="Calibri" w:hAnsi="Calibri" w:cs="Calibri"/>
        </w:rPr>
        <w:br/>
        <w:t>- Staff presence consists of two female workers with no training or means to safely challenge theft.</w:t>
      </w:r>
      <w:r>
        <w:rPr>
          <w:rFonts w:ascii="Calibri" w:eastAsia="Calibri" w:hAnsi="Calibri" w:cs="Calibri"/>
        </w:rPr>
        <w:br/>
        <w:t>- Shoplifters are aware of the lack of deterrents and act accordingly.</w:t>
      </w:r>
      <w:r>
        <w:rPr>
          <w:rFonts w:ascii="Calibri" w:eastAsia="Calibri" w:hAnsi="Calibri" w:cs="Calibri"/>
        </w:rPr>
        <w:br/>
        <w:t>- Theft is not limited to vulnerable individuals; members of the general public are also taking advantage.</w:t>
      </w:r>
      <w:r>
        <w:rPr>
          <w:rFonts w:ascii="Calibri" w:eastAsia="Calibri" w:hAnsi="Calibri" w:cs="Calibri"/>
        </w:rPr>
        <w:br/>
        <w:t>- Wenzel’s has two functional CCTV cameras and management is supportive of providing footage when required.</w:t>
      </w:r>
      <w:r>
        <w:rPr>
          <w:rFonts w:ascii="Calibri" w:eastAsia="Calibri" w:hAnsi="Calibri" w:cs="Calibri"/>
        </w:rPr>
        <w:br/>
        <w:t>- Incidents are rarely reported to the police, limiting the possibility of longer-term solutions such as Community Protection Notices, habitual offender tracking, or increased local enforcement.</w:t>
      </w:r>
    </w:p>
    <w:p w14:paraId="3416DAB2" w14:textId="77777777" w:rsidR="005B7B5A" w:rsidRDefault="00000000">
      <w:pPr>
        <w:pStyle w:val="Heading2"/>
        <w:rPr>
          <w:rFonts w:ascii="Calibri" w:hAnsi="Calibri" w:cs="Calibri"/>
          <w:color w:val="FF0000"/>
        </w:rPr>
      </w:pPr>
      <w:r>
        <w:rPr>
          <w:rFonts w:ascii="Calibri" w:eastAsia="Calibri" w:hAnsi="Calibri" w:cs="Calibri"/>
          <w:color w:val="FF0000"/>
        </w:rPr>
        <w:t>Recommendations</w:t>
      </w:r>
    </w:p>
    <w:p w14:paraId="6BD0BB7F" w14:textId="00491973" w:rsidR="005B7B5A" w:rsidRDefault="00000000">
      <w:pPr>
        <w:rPr>
          <w:rFonts w:ascii="Calibri" w:hAnsi="Calibri" w:cs="Calibri"/>
        </w:rPr>
      </w:pPr>
      <w:r>
        <w:rPr>
          <w:rFonts w:ascii="Calibri" w:eastAsia="Calibri" w:hAnsi="Calibri" w:cs="Calibri"/>
        </w:rPr>
        <w:t>1. Stagger Stocking of High-Theft Items:</w:t>
      </w:r>
      <w:r>
        <w:rPr>
          <w:rFonts w:ascii="Calibri" w:eastAsia="Calibri" w:hAnsi="Calibri" w:cs="Calibri"/>
        </w:rPr>
        <w:br/>
        <w:t xml:space="preserve">   Avoid fully stocking high-risk items such as cold drinks at opening time. Refill shelves closer to peak periods when footfall and staff presence are higher.</w:t>
      </w:r>
      <w:r>
        <w:rPr>
          <w:rFonts w:ascii="Calibri" w:eastAsia="Calibri" w:hAnsi="Calibri" w:cs="Calibri"/>
        </w:rPr>
        <w:br/>
      </w:r>
      <w:r>
        <w:rPr>
          <w:rFonts w:ascii="Calibri" w:eastAsia="Calibri" w:hAnsi="Calibri" w:cs="Calibri"/>
        </w:rPr>
        <w:br/>
        <w:t>2. Consistently Report All Thefts to Police (Online):</w:t>
      </w:r>
      <w:r>
        <w:rPr>
          <w:rFonts w:ascii="Calibri" w:eastAsia="Calibri" w:hAnsi="Calibri" w:cs="Calibri"/>
        </w:rPr>
        <w:br/>
        <w:t xml:space="preserve">   Reporting every incident, even when low in value, builds a data trail that supports broader police intervention and establishes a clear pattern of ongoing theft.</w:t>
      </w:r>
      <w:r>
        <w:rPr>
          <w:rFonts w:ascii="Calibri" w:eastAsia="Calibri" w:hAnsi="Calibri" w:cs="Calibri"/>
        </w:rPr>
        <w:br/>
      </w:r>
      <w:r>
        <w:rPr>
          <w:rFonts w:ascii="Calibri" w:eastAsia="Calibri" w:hAnsi="Calibri" w:cs="Calibri"/>
        </w:rPr>
        <w:br/>
        <w:t xml:space="preserve">3. Engage with Local Council or </w:t>
      </w:r>
      <w:r w:rsidR="002E10FC">
        <w:rPr>
          <w:rFonts w:ascii="Calibri" w:eastAsia="Calibri" w:hAnsi="Calibri" w:cs="Calibri"/>
        </w:rPr>
        <w:t>Make It Ealing</w:t>
      </w:r>
      <w:r>
        <w:rPr>
          <w:rFonts w:ascii="Calibri" w:eastAsia="Calibri" w:hAnsi="Calibri" w:cs="Calibri"/>
        </w:rPr>
        <w:t xml:space="preserve"> for Additional Signage/Warnings:</w:t>
      </w:r>
      <w:r>
        <w:rPr>
          <w:rFonts w:ascii="Calibri" w:eastAsia="Calibri" w:hAnsi="Calibri" w:cs="Calibri"/>
        </w:rPr>
        <w:br/>
        <w:t xml:space="preserve">   Visible signage stating that theft is monitored and prosecuted, even if symbolic, can deter opportunistic offenders.</w:t>
      </w:r>
      <w:r>
        <w:rPr>
          <w:rFonts w:ascii="Calibri" w:eastAsia="Calibri" w:hAnsi="Calibri" w:cs="Calibri"/>
        </w:rPr>
        <w:br/>
      </w:r>
      <w:r>
        <w:rPr>
          <w:rFonts w:ascii="Calibri" w:eastAsia="Calibri" w:hAnsi="Calibri" w:cs="Calibri"/>
        </w:rPr>
        <w:br/>
        <w:t>4. Explore the Use of Entry-Control Measures:</w:t>
      </w:r>
      <w:r>
        <w:rPr>
          <w:rFonts w:ascii="Calibri" w:eastAsia="Calibri" w:hAnsi="Calibri" w:cs="Calibri"/>
        </w:rPr>
        <w:br/>
        <w:t xml:space="preserve">   Consider installing a basic deterrent system like a door buzzer during off-peak hours.</w:t>
      </w:r>
      <w:r>
        <w:rPr>
          <w:rFonts w:ascii="Calibri" w:eastAsia="Calibri" w:hAnsi="Calibri" w:cs="Calibri"/>
        </w:rPr>
        <w:br/>
      </w:r>
      <w:r>
        <w:rPr>
          <w:rFonts w:ascii="Calibri" w:eastAsia="Calibri" w:hAnsi="Calibri" w:cs="Calibri"/>
        </w:rPr>
        <w:br/>
        <w:t>5. Staff Safety and Awareness Training:</w:t>
      </w:r>
      <w:r>
        <w:rPr>
          <w:rFonts w:ascii="Calibri" w:eastAsia="Calibri" w:hAnsi="Calibri" w:cs="Calibri"/>
        </w:rPr>
        <w:br/>
        <w:t xml:space="preserve">   While it’s not the staff’s job to physically intervene, a short awareness session</w:t>
      </w:r>
      <w:r>
        <w:rPr>
          <w:rFonts w:ascii="Calibri" w:eastAsia="Calibri" w:hAnsi="Calibri" w:cs="Calibri"/>
          <w:lang w:val="en-GB"/>
        </w:rPr>
        <w:t xml:space="preserve"> </w:t>
      </w:r>
      <w:r>
        <w:rPr>
          <w:rFonts w:ascii="Calibri" w:eastAsia="Calibri" w:hAnsi="Calibri" w:cs="Calibri"/>
        </w:rPr>
        <w:t>could help them feel safer, more informed, and better able to respond appropriately to theft.</w:t>
      </w:r>
    </w:p>
    <w:p w14:paraId="41B5F95D" w14:textId="77777777" w:rsidR="005B7B5A" w:rsidRDefault="00000000">
      <w:pPr>
        <w:pStyle w:val="Heading2"/>
        <w:rPr>
          <w:rFonts w:ascii="Calibri" w:hAnsi="Calibri" w:cs="Calibri"/>
          <w:color w:val="FF0000"/>
        </w:rPr>
      </w:pPr>
      <w:r>
        <w:rPr>
          <w:rFonts w:ascii="Calibri" w:eastAsia="Calibri" w:hAnsi="Calibri" w:cs="Calibri"/>
          <w:color w:val="FF0000"/>
        </w:rPr>
        <w:t>Conclusion</w:t>
      </w:r>
    </w:p>
    <w:p w14:paraId="7D2C32C8" w14:textId="29F160D4" w:rsidR="005B7B5A" w:rsidRDefault="00000000">
      <w:pPr>
        <w:rPr>
          <w:rFonts w:ascii="Calibri" w:eastAsia="Calibri" w:hAnsi="Calibri" w:cs="Calibri"/>
        </w:rPr>
      </w:pPr>
      <w:r>
        <w:rPr>
          <w:rFonts w:ascii="Calibri" w:eastAsia="Calibri" w:hAnsi="Calibri" w:cs="Calibri"/>
        </w:rPr>
        <w:t xml:space="preserve">The situation at Wenzel’s Ealing Broadway site is </w:t>
      </w:r>
      <w:r>
        <w:rPr>
          <w:rFonts w:ascii="Calibri" w:eastAsia="Calibri" w:hAnsi="Calibri" w:cs="Calibri"/>
          <w:lang w:val="en-GB"/>
        </w:rPr>
        <w:t>concerning and persistent</w:t>
      </w:r>
      <w:r>
        <w:rPr>
          <w:rFonts w:ascii="Calibri" w:eastAsia="Calibri" w:hAnsi="Calibri" w:cs="Calibri"/>
        </w:rPr>
        <w:t>. The sheer frequency and shamelessness of the thefts highlight a deep-rooted vulnerability being openly exploited. While the value of stolen items may be relatively low per incident, the cumulative impact on staff, morale, and business sustainability is significant.</w:t>
      </w:r>
      <w:r>
        <w:rPr>
          <w:rFonts w:ascii="Calibri" w:eastAsia="Calibri" w:hAnsi="Calibri" w:cs="Calibri"/>
        </w:rPr>
        <w:br/>
      </w:r>
      <w:r>
        <w:rPr>
          <w:rFonts w:ascii="Calibri" w:eastAsia="Calibri" w:hAnsi="Calibri" w:cs="Calibri"/>
        </w:rPr>
        <w:br/>
        <w:t xml:space="preserve">The operation on 29th April was a one-off proactive deployment, arranged at the request of  </w:t>
      </w:r>
      <w:r w:rsidR="002E10FC">
        <w:rPr>
          <w:rFonts w:ascii="Calibri" w:eastAsia="Calibri" w:hAnsi="Calibri" w:cs="Calibri"/>
        </w:rPr>
        <w:t xml:space="preserve">Make It </w:t>
      </w:r>
      <w:r>
        <w:rPr>
          <w:rFonts w:ascii="Calibri" w:eastAsia="Calibri" w:hAnsi="Calibri" w:cs="Calibri"/>
        </w:rPr>
        <w:t xml:space="preserve">Ealing BID. Our team dedicated an entire day to the premises, intercepting eight thefts and deterring two further attempts. We trust this report demonstrates the extent of the issue, while also providing practical, low-cost recommendations to help the store tackle its ongoing </w:t>
      </w:r>
      <w:r>
        <w:rPr>
          <w:rFonts w:ascii="Calibri" w:eastAsia="Calibri" w:hAnsi="Calibri" w:cs="Calibri"/>
        </w:rPr>
        <w:lastRenderedPageBreak/>
        <w:t>theft problem.</w:t>
      </w:r>
      <w:r>
        <w:rPr>
          <w:rFonts w:ascii="Calibri" w:eastAsia="Calibri" w:hAnsi="Calibri" w:cs="Calibri"/>
        </w:rPr>
        <w:br/>
      </w:r>
      <w:r>
        <w:rPr>
          <w:rFonts w:ascii="Calibri" w:eastAsia="Calibri" w:hAnsi="Calibri" w:cs="Calibri"/>
        </w:rPr>
        <w:br/>
        <w:t>While we will not be carrying out further dedicated deployments, we hope the store takes forward some of the measures outlined to better protect their stock and staff.</w:t>
      </w:r>
    </w:p>
    <w:p w14:paraId="23A5263B" w14:textId="1EEF7C80" w:rsidR="005B7B5A" w:rsidRDefault="005B7B5A">
      <w:pPr>
        <w:rPr>
          <w:rFonts w:ascii="Calibri" w:hAnsi="Calibri" w:cs="Calibri"/>
        </w:rPr>
      </w:pPr>
    </w:p>
    <w:p w14:paraId="11B87DC7" w14:textId="2F9883E4" w:rsidR="005B7B5A" w:rsidRDefault="007C71B4">
      <w:pPr>
        <w:rPr>
          <w:rFonts w:ascii="Calibri" w:hAnsi="Calibri" w:cs="Calibri"/>
        </w:rPr>
      </w:pPr>
      <w:r>
        <w:rPr>
          <w:noProof/>
          <w:highlight w:val="red"/>
        </w:rPr>
        <w:drawing>
          <wp:anchor distT="0" distB="0" distL="114300" distR="114300" simplePos="0" relativeHeight="251656704" behindDoc="0" locked="0" layoutInCell="1" allowOverlap="1" wp14:anchorId="56CDEABB" wp14:editId="308A02C7">
            <wp:simplePos x="0" y="0"/>
            <wp:positionH relativeFrom="margin">
              <wp:posOffset>-161925</wp:posOffset>
            </wp:positionH>
            <wp:positionV relativeFrom="margin">
              <wp:posOffset>1384300</wp:posOffset>
            </wp:positionV>
            <wp:extent cx="2760345" cy="15811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62273" name="Picture 1"/>
                    <pic:cNvPicPr>
                      <a:picLocks noChangeAspect="1"/>
                    </pic:cNvPicPr>
                  </pic:nvPicPr>
                  <pic:blipFill>
                    <a:blip r:embed="rId8"/>
                    <a:stretch/>
                  </pic:blipFill>
                  <pic:spPr bwMode="auto">
                    <a:xfrm>
                      <a:off x="0" y="0"/>
                      <a:ext cx="2760345" cy="1581150"/>
                    </a:xfrm>
                    <a:prstGeom prst="rect">
                      <a:avLst/>
                    </a:prstGeom>
                  </pic:spPr>
                </pic:pic>
              </a:graphicData>
            </a:graphic>
          </wp:anchor>
        </w:drawing>
      </w:r>
    </w:p>
    <w:p w14:paraId="6DBDF4B0" w14:textId="2F7B7DDE" w:rsidR="005B7B5A" w:rsidRDefault="005B7B5A">
      <w:pPr>
        <w:rPr>
          <w:sz w:val="44"/>
          <w:szCs w:val="44"/>
        </w:rPr>
      </w:pPr>
    </w:p>
    <w:p w14:paraId="2B60E306" w14:textId="77777777" w:rsidR="005B7B5A" w:rsidRDefault="005B7B5A">
      <w:pPr>
        <w:rPr>
          <w:sz w:val="44"/>
          <w:szCs w:val="44"/>
        </w:rPr>
      </w:pPr>
    </w:p>
    <w:p w14:paraId="3EF223FD" w14:textId="77777777" w:rsidR="005B7B5A" w:rsidRDefault="005B7B5A">
      <w:pPr>
        <w:rPr>
          <w:sz w:val="44"/>
          <w:szCs w:val="44"/>
        </w:rPr>
      </w:pPr>
    </w:p>
    <w:p w14:paraId="6A5B6D56" w14:textId="77777777" w:rsidR="005B7B5A" w:rsidRDefault="005B7B5A">
      <w:pPr>
        <w:rPr>
          <w:sz w:val="44"/>
          <w:szCs w:val="44"/>
        </w:rPr>
      </w:pPr>
    </w:p>
    <w:p w14:paraId="3EC5D40A" w14:textId="77777777" w:rsidR="007C71B4" w:rsidRDefault="007C71B4" w:rsidP="007C71B4">
      <w:pPr>
        <w:rPr>
          <w:rFonts w:ascii="Calibri" w:eastAsia="Calibri" w:hAnsi="Calibri" w:cs="Calibri"/>
          <w:sz w:val="40"/>
          <w:szCs w:val="40"/>
        </w:rPr>
      </w:pPr>
      <w:r>
        <w:rPr>
          <w:rFonts w:ascii="Calibri" w:eastAsia="Calibri" w:hAnsi="Calibri" w:cs="Calibri"/>
          <w:b/>
          <w:bCs/>
          <w:sz w:val="40"/>
          <w:szCs w:val="40"/>
        </w:rPr>
        <w:t>Website:</w:t>
      </w:r>
      <w:r>
        <w:rPr>
          <w:rFonts w:ascii="Calibri" w:eastAsia="Calibri" w:hAnsi="Calibri" w:cs="Calibri"/>
          <w:sz w:val="40"/>
          <w:szCs w:val="40"/>
        </w:rPr>
        <w:t xml:space="preserve"> </w:t>
      </w:r>
      <w:r>
        <w:rPr>
          <w:rFonts w:ascii="Calibri" w:eastAsia="Calibri" w:hAnsi="Calibri" w:cs="Calibri"/>
          <w:sz w:val="40"/>
          <w:szCs w:val="40"/>
          <w:lang w:val="en-GB"/>
        </w:rPr>
        <w:t xml:space="preserve"> </w:t>
      </w:r>
      <w:r>
        <w:rPr>
          <w:rFonts w:ascii="Calibri" w:eastAsia="Calibri" w:hAnsi="Calibri" w:cs="Calibri"/>
          <w:sz w:val="40"/>
          <w:szCs w:val="40"/>
        </w:rPr>
        <w:t>www.mylocalbobby.co.uk</w:t>
      </w:r>
    </w:p>
    <w:p w14:paraId="46645A53" w14:textId="77777777" w:rsidR="007C71B4" w:rsidRDefault="007C71B4" w:rsidP="007C71B4">
      <w:pPr>
        <w:rPr>
          <w:rFonts w:ascii="Calibri" w:hAnsi="Calibri" w:cs="Calibri"/>
          <w:sz w:val="40"/>
          <w:szCs w:val="40"/>
        </w:rPr>
      </w:pPr>
      <w:r>
        <w:rPr>
          <w:rFonts w:ascii="Calibri" w:eastAsia="Calibri" w:hAnsi="Calibri" w:cs="Calibri"/>
          <w:b/>
          <w:bCs/>
          <w:sz w:val="40"/>
          <w:szCs w:val="40"/>
        </w:rPr>
        <w:t>Phone:</w:t>
      </w:r>
      <w:r>
        <w:rPr>
          <w:rFonts w:ascii="Calibri" w:eastAsia="Calibri" w:hAnsi="Calibri" w:cs="Calibri"/>
          <w:sz w:val="40"/>
          <w:szCs w:val="40"/>
        </w:rPr>
        <w:t xml:space="preserve"> </w:t>
      </w:r>
      <w:proofErr w:type="gramStart"/>
      <w:r>
        <w:rPr>
          <w:rFonts w:ascii="Calibri" w:eastAsia="Calibri" w:hAnsi="Calibri" w:cs="Calibri"/>
          <w:sz w:val="40"/>
          <w:szCs w:val="40"/>
        </w:rPr>
        <w:tab/>
      </w:r>
      <w:r>
        <w:rPr>
          <w:rFonts w:ascii="Calibri" w:eastAsia="Calibri" w:hAnsi="Calibri" w:cs="Calibri"/>
          <w:sz w:val="40"/>
          <w:szCs w:val="40"/>
          <w:lang w:val="en-GB"/>
        </w:rPr>
        <w:t xml:space="preserve">  </w:t>
      </w:r>
      <w:r>
        <w:rPr>
          <w:rFonts w:ascii="Calibri" w:eastAsia="Calibri" w:hAnsi="Calibri" w:cs="Calibri"/>
          <w:sz w:val="40"/>
          <w:szCs w:val="40"/>
        </w:rPr>
        <w:t>+</w:t>
      </w:r>
      <w:proofErr w:type="gramEnd"/>
      <w:r>
        <w:rPr>
          <w:rFonts w:ascii="Calibri" w:eastAsia="Calibri" w:hAnsi="Calibri" w:cs="Calibri"/>
          <w:sz w:val="40"/>
          <w:szCs w:val="40"/>
        </w:rPr>
        <w:t>44 (0) 207 0787 460</w:t>
      </w:r>
    </w:p>
    <w:p w14:paraId="12EA0210" w14:textId="77777777" w:rsidR="007C71B4" w:rsidRDefault="007C71B4" w:rsidP="007C71B4">
      <w:pPr>
        <w:rPr>
          <w:rFonts w:ascii="Calibri" w:hAnsi="Calibri" w:cs="Calibri"/>
          <w:sz w:val="40"/>
          <w:szCs w:val="40"/>
        </w:rPr>
      </w:pPr>
      <w:r>
        <w:rPr>
          <w:rFonts w:ascii="Calibri" w:eastAsia="Calibri" w:hAnsi="Calibri" w:cs="Calibri"/>
          <w:b/>
          <w:bCs/>
          <w:sz w:val="40"/>
          <w:szCs w:val="40"/>
        </w:rPr>
        <w:t>Address:</w:t>
      </w:r>
      <w:r>
        <w:rPr>
          <w:rFonts w:ascii="Calibri" w:eastAsia="Calibri" w:hAnsi="Calibri" w:cs="Calibri"/>
          <w:b/>
          <w:bCs/>
          <w:sz w:val="40"/>
          <w:szCs w:val="40"/>
          <w:lang w:val="en-GB"/>
        </w:rPr>
        <w:t xml:space="preserve"> </w:t>
      </w:r>
      <w:r>
        <w:rPr>
          <w:rFonts w:ascii="Calibri" w:eastAsia="Calibri" w:hAnsi="Calibri" w:cs="Calibri"/>
          <w:sz w:val="40"/>
          <w:szCs w:val="40"/>
        </w:rPr>
        <w:t xml:space="preserve"> PO Box 10147, Epping, Essex, CM16 9BR</w:t>
      </w:r>
    </w:p>
    <w:p w14:paraId="365DE679" w14:textId="77777777" w:rsidR="007C71B4" w:rsidRDefault="007C71B4" w:rsidP="007C71B4">
      <w:pPr>
        <w:rPr>
          <w:rFonts w:ascii="Calibri" w:hAnsi="Calibri" w:cs="Calibri"/>
          <w:sz w:val="40"/>
          <w:szCs w:val="40"/>
        </w:rPr>
      </w:pPr>
      <w:r>
        <w:rPr>
          <w:rFonts w:ascii="Calibri" w:eastAsia="Calibri" w:hAnsi="Calibri" w:cs="Calibri"/>
          <w:b/>
          <w:bCs/>
          <w:sz w:val="40"/>
          <w:szCs w:val="40"/>
        </w:rPr>
        <w:t>Email:</w:t>
      </w:r>
      <w:r>
        <w:rPr>
          <w:rFonts w:ascii="Calibri" w:eastAsia="Calibri" w:hAnsi="Calibri" w:cs="Calibri"/>
          <w:sz w:val="40"/>
          <w:szCs w:val="40"/>
        </w:rPr>
        <w:t xml:space="preserve"> </w:t>
      </w:r>
      <w:proofErr w:type="gramStart"/>
      <w:r>
        <w:rPr>
          <w:rFonts w:ascii="Calibri" w:eastAsia="Calibri" w:hAnsi="Calibri" w:cs="Calibri"/>
          <w:sz w:val="40"/>
          <w:szCs w:val="40"/>
        </w:rPr>
        <w:tab/>
      </w:r>
      <w:r>
        <w:rPr>
          <w:rFonts w:ascii="Calibri" w:eastAsia="Calibri" w:hAnsi="Calibri" w:cs="Calibri"/>
          <w:sz w:val="40"/>
          <w:szCs w:val="40"/>
          <w:lang w:val="en-GB"/>
        </w:rPr>
        <w:t xml:space="preserve">  </w:t>
      </w:r>
      <w:r>
        <w:rPr>
          <w:rFonts w:ascii="Calibri" w:eastAsia="Calibri" w:hAnsi="Calibri" w:cs="Calibri"/>
          <w:sz w:val="40"/>
          <w:szCs w:val="40"/>
        </w:rPr>
        <w:t>PCTMailbox@tm-eye.co.uk</w:t>
      </w:r>
      <w:proofErr w:type="gramEnd"/>
      <w:r>
        <w:rPr>
          <w:rFonts w:ascii="Calibri" w:eastAsia="Calibri" w:hAnsi="Calibri" w:cs="Calibri"/>
          <w:sz w:val="40"/>
          <w:szCs w:val="40"/>
        </w:rPr>
        <w:t xml:space="preserve"> </w:t>
      </w:r>
    </w:p>
    <w:p w14:paraId="4B5F6E72" w14:textId="77777777" w:rsidR="007C71B4" w:rsidRDefault="007C71B4" w:rsidP="007C71B4">
      <w:pPr>
        <w:rPr>
          <w:rFonts w:ascii="Calibri" w:hAnsi="Calibri" w:cs="Calibri"/>
        </w:rPr>
      </w:pPr>
    </w:p>
    <w:p w14:paraId="507E6092" w14:textId="77777777" w:rsidR="005B7B5A" w:rsidRDefault="005B7B5A">
      <w:pPr>
        <w:rPr>
          <w:sz w:val="44"/>
          <w:szCs w:val="44"/>
        </w:rPr>
      </w:pPr>
    </w:p>
    <w:p w14:paraId="1B4BA333" w14:textId="77777777" w:rsidR="005B7B5A" w:rsidRDefault="005B7B5A">
      <w:pPr>
        <w:rPr>
          <w:sz w:val="44"/>
          <w:szCs w:val="44"/>
        </w:rPr>
      </w:pPr>
    </w:p>
    <w:p w14:paraId="5E2DBF3F" w14:textId="2E8ADBA8" w:rsidR="005B7B5A" w:rsidRDefault="00000000">
      <w:pPr>
        <w:rPr>
          <w:sz w:val="44"/>
          <w:szCs w:val="44"/>
        </w:rPr>
      </w:pPr>
      <w:r>
        <w:rPr>
          <w:noProof/>
        </w:rPr>
        <mc:AlternateContent>
          <mc:Choice Requires="wps">
            <w:drawing>
              <wp:anchor distT="0" distB="0" distL="115200" distR="115200" simplePos="0" relativeHeight="251657728" behindDoc="0" locked="0" layoutInCell="1" allowOverlap="1" wp14:anchorId="48AF5424" wp14:editId="735CA87C">
                <wp:simplePos x="0" y="0"/>
                <wp:positionH relativeFrom="column">
                  <wp:posOffset>-1132500</wp:posOffset>
                </wp:positionH>
                <wp:positionV relativeFrom="paragraph">
                  <wp:posOffset>1728173</wp:posOffset>
                </wp:positionV>
                <wp:extent cx="7762875" cy="10067925"/>
                <wp:effectExtent l="4762" t="4762" r="4762" b="4762"/>
                <wp:wrapNone/>
                <wp:docPr id="4" name="Rectangle 4"/>
                <wp:cNvGraphicFramePr/>
                <a:graphic xmlns:a="http://schemas.openxmlformats.org/drawingml/2006/main">
                  <a:graphicData uri="http://schemas.microsoft.com/office/word/2010/wordprocessingShape">
                    <wps:wsp>
                      <wps:cNvSpPr/>
                      <wps:spPr bwMode="auto">
                        <a:xfrm>
                          <a:off x="0" y="0"/>
                          <a:ext cx="7762874" cy="10067924"/>
                        </a:xfrm>
                        <a:prstGeom prst="rect">
                          <a:avLst/>
                        </a:prstGeom>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anchor>
            </w:drawing>
          </mc:Choice>
          <mc:Fallback>
            <w:pict>
              <v:rect w14:anchorId="64F89230" id="Rectangle 4" o:spid="_x0000_s1026" style="position:absolute;margin-left:-89.15pt;margin-top:136.1pt;width:611.25pt;height:792.75pt;z-index:251657728;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" fillcolor="#4f81bd [3204]" strokecolor="#4579b8 [3044]">
                <v:fill color2="#a7bfde [1620]" angle="180" focus="100%" type="gradient">
                  <o:fill v:ext="view" type="gradientUnscaled"/>
                </v:fill>
                <v:shadow on="t" color="black" opacity="22937f" origin=",.5" offset="0,.63889mm"/>
              </v:rect>
            </w:pict>
          </mc:Fallback>
        </mc:AlternateContent>
      </w:r>
    </w:p>
    <w:p w14:paraId="6EDF9A9F" w14:textId="20197BCC" w:rsidR="005B7B5A" w:rsidRPr="007C71B4" w:rsidRDefault="007C71B4">
      <w:pPr>
        <w:rPr>
          <w:sz w:val="44"/>
          <w:szCs w:val="44"/>
        </w:rPr>
      </w:pPr>
      <w:r>
        <w:rPr>
          <w:noProof/>
        </w:rPr>
        <mc:AlternateContent>
          <mc:Choice Requires="wps">
            <w:drawing>
              <wp:anchor distT="0" distB="0" distL="115200" distR="115200" simplePos="0" relativeHeight="251658752" behindDoc="0" locked="0" layoutInCell="1" allowOverlap="1" wp14:anchorId="3F65688F" wp14:editId="1782CD04">
                <wp:simplePos x="0" y="0"/>
                <wp:positionH relativeFrom="column">
                  <wp:posOffset>-1068705</wp:posOffset>
                </wp:positionH>
                <wp:positionV relativeFrom="paragraph">
                  <wp:posOffset>1791335</wp:posOffset>
                </wp:positionV>
                <wp:extent cx="7772400" cy="10067925"/>
                <wp:effectExtent l="4762" t="4762" r="4762" b="4762"/>
                <wp:wrapNone/>
                <wp:docPr id="3" name="Rectangle 3"/>
                <wp:cNvGraphicFramePr/>
                <a:graphic xmlns:a="http://schemas.openxmlformats.org/drawingml/2006/main">
                  <a:graphicData uri="http://schemas.microsoft.com/office/word/2010/wordprocessingShape">
                    <wps:wsp>
                      <wps:cNvSpPr/>
                      <wps:spPr bwMode="auto">
                        <a:xfrm>
                          <a:off x="0" y="0"/>
                          <a:ext cx="7772400" cy="10067925"/>
                        </a:xfrm>
                        <a:prstGeom prst="rect">
                          <a:avLst/>
                        </a:prstGeom>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anchor>
            </w:drawing>
          </mc:Choice>
          <mc:Fallback>
            <w:pict>
              <v:rect w14:anchorId="3A7A064A" id="Rectangle 3" o:spid="_x0000_s1026" style="position:absolute;margin-left:-84.15pt;margin-top:141.05pt;width:612pt;height:792.75pt;z-index:25165875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" fillcolor="#4f81bd [3204]" strokecolor="#4579b8 [3044]">
                <v:fill color2="#a7bfde [1620]"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5200" distR="115200" simplePos="0" relativeHeight="251659776" behindDoc="0" locked="0" layoutInCell="1" allowOverlap="1" wp14:anchorId="065128D2" wp14:editId="214AEC17">
                <wp:simplePos x="0" y="0"/>
                <wp:positionH relativeFrom="column">
                  <wp:posOffset>-1143000</wp:posOffset>
                </wp:positionH>
                <wp:positionV relativeFrom="paragraph">
                  <wp:posOffset>1790700</wp:posOffset>
                </wp:positionV>
                <wp:extent cx="7762240" cy="8999220"/>
                <wp:effectExtent l="50800" t="25400" r="60960" b="81280"/>
                <wp:wrapNone/>
                <wp:docPr id="2" name="Rectangle 2"/>
                <wp:cNvGraphicFramePr/>
                <a:graphic xmlns:a="http://schemas.openxmlformats.org/drawingml/2006/main">
                  <a:graphicData uri="http://schemas.microsoft.com/office/word/2010/wordprocessingShape">
                    <wps:wsp>
                      <wps:cNvSpPr/>
                      <wps:spPr bwMode="auto">
                        <a:xfrm>
                          <a:off x="0" y="0"/>
                          <a:ext cx="7762240" cy="8999220"/>
                        </a:xfrm>
                        <a:prstGeom prst="rect">
                          <a:avLst/>
                        </a:prstGeom>
                      </wps:spPr>
                      <wps:style>
                        <a:lnRef idx="1">
                          <a:schemeClr val="accent1"/>
                        </a:lnRef>
                        <a:fillRef idx="3">
                          <a:schemeClr val="accent1"/>
                        </a:fillRef>
                        <a:effectRef idx="2">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rect w14:anchorId="0AA58162" id="Rectangle 2" o:spid="_x0000_s1026" style="position:absolute;margin-left:-90pt;margin-top:141pt;width:611.2pt;height:708.6pt;z-index:251659776;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" fillcolor="#4f81bd [3204]" strokecolor="#4579b8 [3044]">
                <v:fill color2="#a7bfde [1620]" angle="180" focus="100%" type="gradient">
                  <o:fill v:ext="view" type="gradientUnscaled"/>
                </v:fill>
                <v:shadow on="t" color="black" opacity="22937f" origin=",.5" offset="0,.63889mm"/>
              </v:rect>
            </w:pict>
          </mc:Fallback>
        </mc:AlternateContent>
      </w:r>
    </w:p>
    <w:sectPr w:rsidR="005B7B5A" w:rsidRPr="007C71B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1FBA" w14:textId="77777777" w:rsidR="009117B3" w:rsidRDefault="009117B3">
      <w:pPr>
        <w:spacing w:after="0" w:line="240" w:lineRule="auto"/>
      </w:pPr>
      <w:r>
        <w:separator/>
      </w:r>
    </w:p>
  </w:endnote>
  <w:endnote w:type="continuationSeparator" w:id="0">
    <w:p w14:paraId="16B14EC1" w14:textId="77777777" w:rsidR="009117B3" w:rsidRDefault="0091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7399" w14:textId="77777777" w:rsidR="009117B3" w:rsidRDefault="009117B3">
      <w:pPr>
        <w:spacing w:after="0" w:line="240" w:lineRule="auto"/>
      </w:pPr>
      <w:r>
        <w:separator/>
      </w:r>
    </w:p>
  </w:footnote>
  <w:footnote w:type="continuationSeparator" w:id="0">
    <w:p w14:paraId="7364197D" w14:textId="77777777" w:rsidR="009117B3" w:rsidRDefault="00911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7E6F"/>
    <w:multiLevelType w:val="multilevel"/>
    <w:tmpl w:val="6C8C8FD4"/>
    <w:lvl w:ilvl="0">
      <w:start w:val="1"/>
      <w:numFmt w:val="decimal"/>
      <w:pStyle w:val="ListNumber"/>
      <w:lvlText w:val="%1."/>
      <w:lvlJc w:val="left"/>
      <w:pPr>
        <w:tabs>
          <w:tab w:val="num" w:pos="360"/>
        </w:tabs>
        <w:ind w:left="36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41174B0"/>
    <w:multiLevelType w:val="multilevel"/>
    <w:tmpl w:val="C96A8FF2"/>
    <w:lvl w:ilvl="0">
      <w:start w:val="1"/>
      <w:numFmt w:val="decimal"/>
      <w:lvlText w:val="%1."/>
      <w:lvlJc w:val="left"/>
      <w:pPr>
        <w:tabs>
          <w:tab w:val="num" w:pos="1800"/>
        </w:tabs>
        <w:ind w:left="180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15575C7C"/>
    <w:multiLevelType w:val="multilevel"/>
    <w:tmpl w:val="A636D8CE"/>
    <w:lvl w:ilvl="0">
      <w:start w:val="1"/>
      <w:numFmt w:val="decimal"/>
      <w:pStyle w:val="ListNumber2"/>
      <w:lvlText w:val="%1."/>
      <w:lvlJc w:val="left"/>
      <w:pPr>
        <w:tabs>
          <w:tab w:val="num" w:pos="720"/>
        </w:tabs>
        <w:ind w:left="72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CAB1279"/>
    <w:multiLevelType w:val="multilevel"/>
    <w:tmpl w:val="E42609F0"/>
    <w:lvl w:ilvl="0">
      <w:start w:val="1"/>
      <w:numFmt w:val="bullet"/>
      <w:pStyle w:val="ListBullet"/>
      <w:lvlText w:val=""/>
      <w:lvlJc w:val="left"/>
      <w:pPr>
        <w:tabs>
          <w:tab w:val="num" w:pos="360"/>
        </w:tabs>
        <w:ind w:left="36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D0877F1"/>
    <w:multiLevelType w:val="multilevel"/>
    <w:tmpl w:val="4E8812A2"/>
    <w:lvl w:ilvl="0">
      <w:start w:val="1"/>
      <w:numFmt w:val="decimal"/>
      <w:lvlText w:val="%1."/>
      <w:lvlJc w:val="left"/>
      <w:pPr>
        <w:tabs>
          <w:tab w:val="num" w:pos="1440"/>
        </w:tabs>
        <w:ind w:left="144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4F870D4"/>
    <w:multiLevelType w:val="multilevel"/>
    <w:tmpl w:val="839A440E"/>
    <w:lvl w:ilvl="0">
      <w:start w:val="1"/>
      <w:numFmt w:val="bullet"/>
      <w:pStyle w:val="ListBullet2"/>
      <w:lvlText w:val=""/>
      <w:lvlJc w:val="left"/>
      <w:pPr>
        <w:tabs>
          <w:tab w:val="num" w:pos="720"/>
        </w:tabs>
        <w:ind w:left="72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2B437309"/>
    <w:multiLevelType w:val="multilevel"/>
    <w:tmpl w:val="EC08A0AA"/>
    <w:lvl w:ilvl="0">
      <w:start w:val="1"/>
      <w:numFmt w:val="decimal"/>
      <w:pStyle w:val="ListNumber3"/>
      <w:lvlText w:val="%1."/>
      <w:lvlJc w:val="left"/>
      <w:pPr>
        <w:tabs>
          <w:tab w:val="num" w:pos="1080"/>
        </w:tabs>
        <w:ind w:left="108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34A6792F"/>
    <w:multiLevelType w:val="multilevel"/>
    <w:tmpl w:val="8B722D80"/>
    <w:lvl w:ilvl="0">
      <w:start w:val="1"/>
      <w:numFmt w:val="bullet"/>
      <w:lvlText w:val=""/>
      <w:lvlJc w:val="left"/>
      <w:pPr>
        <w:tabs>
          <w:tab w:val="num" w:pos="1440"/>
        </w:tabs>
        <w:ind w:left="144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7BBF1000"/>
    <w:multiLevelType w:val="multilevel"/>
    <w:tmpl w:val="24D08458"/>
    <w:lvl w:ilvl="0">
      <w:start w:val="1"/>
      <w:numFmt w:val="bullet"/>
      <w:pStyle w:val="ListBullet3"/>
      <w:lvlText w:val=""/>
      <w:lvlJc w:val="left"/>
      <w:pPr>
        <w:tabs>
          <w:tab w:val="num" w:pos="1080"/>
        </w:tabs>
        <w:ind w:left="108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751271153">
    <w:abstractNumId w:val="3"/>
  </w:num>
  <w:num w:numId="2" w16cid:durableId="1952856999">
    <w:abstractNumId w:val="5"/>
  </w:num>
  <w:num w:numId="3" w16cid:durableId="547305743">
    <w:abstractNumId w:val="8"/>
  </w:num>
  <w:num w:numId="4" w16cid:durableId="526993821">
    <w:abstractNumId w:val="7"/>
  </w:num>
  <w:num w:numId="5" w16cid:durableId="1248995695">
    <w:abstractNumId w:val="0"/>
  </w:num>
  <w:num w:numId="6" w16cid:durableId="1907760841">
    <w:abstractNumId w:val="2"/>
  </w:num>
  <w:num w:numId="7" w16cid:durableId="2145927564">
    <w:abstractNumId w:val="6"/>
  </w:num>
  <w:num w:numId="8" w16cid:durableId="1727684908">
    <w:abstractNumId w:val="4"/>
  </w:num>
  <w:num w:numId="9" w16cid:durableId="137161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5A"/>
    <w:rsid w:val="002727C8"/>
    <w:rsid w:val="002E10FC"/>
    <w:rsid w:val="004E7DA4"/>
    <w:rsid w:val="005B7B5A"/>
    <w:rsid w:val="007C71B4"/>
    <w:rsid w:val="00911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1A9D"/>
  <w15:docId w15:val="{210EEBAB-2BB3-A747-BF6A-7523CD21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unhideWhenUsed/>
    <w:pPr>
      <w:numPr>
        <w:numId w:val="7"/>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left w:val="none" w:sz="4" w:space="0" w:color="000000"/>
          <w:right w:val="none" w:sz="4" w:space="0" w:color="000000"/>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la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left w:val="none" w:sz="4" w:space="0" w:color="000000"/>
          <w:right w:val="none" w:sz="4" w:space="0" w:color="000000"/>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left w:val="none" w:sz="4" w:space="0" w:color="000000"/>
          <w:right w:val="none" w:sz="4" w:space="0" w:color="000000"/>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la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left w:val="none" w:sz="4" w:space="0" w:color="000000"/>
          <w:right w:val="none" w:sz="4" w:space="0" w:color="000000"/>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left w:val="none" w:sz="4" w:space="0" w:color="000000"/>
          <w:right w:val="none" w:sz="4" w:space="0" w:color="000000"/>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la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left w:val="none" w:sz="4" w:space="0" w:color="000000"/>
          <w:right w:val="none" w:sz="4" w:space="0" w:color="000000"/>
        </w:tcBorders>
        <w:shd w:val="clear" w:color="auto" w:fill="FDE4D0" w:themeFill="accent6" w:themeFillTint="3F"/>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shd w:val="clear" w:color="auto" w:fill="C0504D" w:themeFill="accent2"/>
      </w:tcPr>
    </w:tblStylePr>
    <w:tblStylePr w:type="lastRow">
      <w:pPr>
        <w:spacing w:before="0" w:after="0" w:line="240" w:lineRule="auto"/>
      </w:pPr>
      <w:rPr>
        <w:b/>
        <w:bCs/>
      </w:rPr>
      <w:tblPr/>
      <w:tcPr>
        <w:tcBorders>
          <w:top w:val="sing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shd w:val="clear" w:color="auto" w:fill="9BBB59" w:themeFill="accent3"/>
      </w:tcPr>
    </w:tblStylePr>
    <w:tblStylePr w:type="lastRow">
      <w:pPr>
        <w:spacing w:before="0" w:after="0" w:line="240" w:lineRule="auto"/>
      </w:pPr>
      <w:rPr>
        <w:b/>
        <w:bCs/>
      </w:rPr>
      <w:tblPr/>
      <w:tcPr>
        <w:tcBorders>
          <w:top w:val="sing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shd w:val="clear" w:color="auto" w:fill="8064A2" w:themeFill="accent4"/>
      </w:tcPr>
    </w:tblStylePr>
    <w:tblStylePr w:type="lastRow">
      <w:pPr>
        <w:spacing w:before="0" w:after="0" w:line="240" w:lineRule="auto"/>
      </w:pPr>
      <w:rPr>
        <w:b/>
        <w:bCs/>
      </w:rPr>
      <w:tblPr/>
      <w:tcPr>
        <w:tcBorders>
          <w:top w:val="sing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shd w:val="clear" w:color="auto" w:fill="4BACC6" w:themeFill="accent5"/>
      </w:tcPr>
    </w:tblStylePr>
    <w:tblStylePr w:type="lastRow">
      <w:pPr>
        <w:spacing w:before="0" w:after="0" w:line="240" w:lineRule="auto"/>
      </w:pPr>
      <w:rPr>
        <w:b/>
        <w:bCs/>
      </w:rPr>
      <w:tblPr/>
      <w:tcPr>
        <w:tcBorders>
          <w:top w:val="sing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79646" w:themeFill="accent6"/>
      </w:tcPr>
    </w:tblStylePr>
    <w:tblStylePr w:type="lastRow">
      <w:pPr>
        <w:spacing w:before="0" w:after="0" w:line="240" w:lineRule="auto"/>
      </w:pPr>
      <w:rPr>
        <w:b/>
        <w:bCs/>
      </w:rPr>
      <w:tblPr/>
      <w:tcPr>
        <w:tcBorders>
          <w:top w:val="sing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tcBorders>
        <w:shd w:val="clear" w:color="auto" w:fill="000000" w:themeFill="tex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F81BD" w:themeFill="accent1"/>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F81BD" w:themeFill="accent1"/>
      </w:tcPr>
    </w:tblStylePr>
    <w:tblStylePr w:type="lastCol">
      <w:rPr>
        <w:b/>
        <w:bCs/>
        <w:color w:val="FFFFFF" w:themeColor="background1"/>
      </w:rPr>
      <w:tblPr/>
      <w:tcPr>
        <w:tcBorders>
          <w:left w:val="none" w:sz="4" w:space="0" w:color="000000"/>
          <w:right w:val="none" w:sz="4" w:space="0" w:color="000000"/>
        </w:tcBorders>
        <w:shd w:val="clear" w:color="auto" w:fill="4F81BD" w:themeFill="accent1"/>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C0504D" w:themeFill="accent2"/>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C0504D" w:themeFill="accent2"/>
      </w:tcPr>
    </w:tblStylePr>
    <w:tblStylePr w:type="lastCol">
      <w:rPr>
        <w:b/>
        <w:bCs/>
        <w:color w:val="FFFFFF" w:themeColor="background1"/>
      </w:rPr>
      <w:tblPr/>
      <w:tcPr>
        <w:tcBorders>
          <w:left w:val="none" w:sz="4" w:space="0" w:color="000000"/>
          <w:right w:val="none" w:sz="4" w:space="0" w:color="000000"/>
        </w:tcBorders>
        <w:shd w:val="clear" w:color="auto" w:fill="C0504D" w:themeFill="accent2"/>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9BBB59" w:themeFill="accent3"/>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9BBB59" w:themeFill="accent3"/>
      </w:tcPr>
    </w:tblStylePr>
    <w:tblStylePr w:type="lastCol">
      <w:rPr>
        <w:b/>
        <w:bCs/>
        <w:color w:val="FFFFFF" w:themeColor="background1"/>
      </w:rPr>
      <w:tblPr/>
      <w:tcPr>
        <w:tcBorders>
          <w:left w:val="none" w:sz="4" w:space="0" w:color="000000"/>
          <w:right w:val="none" w:sz="4" w:space="0" w:color="000000"/>
        </w:tcBorders>
        <w:shd w:val="clear" w:color="auto" w:fill="9BBB59" w:themeFill="accent3"/>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8064A2" w:themeFill="accent4"/>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8064A2" w:themeFill="accent4"/>
      </w:tcPr>
    </w:tblStylePr>
    <w:tblStylePr w:type="lastCol">
      <w:rPr>
        <w:b/>
        <w:bCs/>
        <w:color w:val="FFFFFF" w:themeColor="background1"/>
      </w:rPr>
      <w:tblPr/>
      <w:tcPr>
        <w:tcBorders>
          <w:left w:val="none" w:sz="4" w:space="0" w:color="000000"/>
          <w:right w:val="none" w:sz="4" w:space="0" w:color="000000"/>
        </w:tcBorders>
        <w:shd w:val="clear" w:color="auto" w:fill="8064A2" w:themeFill="accent4"/>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4BACC6" w:themeFill="accent5"/>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4BACC6" w:themeFill="accent5"/>
      </w:tcPr>
    </w:tblStylePr>
    <w:tblStylePr w:type="lastCol">
      <w:rPr>
        <w:b/>
        <w:bCs/>
        <w:color w:val="FFFFFF" w:themeColor="background1"/>
      </w:rPr>
      <w:tblPr/>
      <w:tcPr>
        <w:tcBorders>
          <w:left w:val="none" w:sz="4" w:space="0" w:color="000000"/>
          <w:right w:val="none" w:sz="4" w:space="0" w:color="000000"/>
        </w:tcBorders>
        <w:shd w:val="clear" w:color="auto" w:fill="4BACC6" w:themeFill="accent5"/>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000000"/>
          <w:left w:val="none" w:sz="4" w:space="0" w:color="000000"/>
          <w:bottom w:val="single" w:sz="18" w:space="0" w:color="000000"/>
          <w:right w:val="none" w:sz="4" w:space="0" w:color="000000"/>
        </w:tcBorders>
        <w:shd w:val="clear" w:color="auto" w:fill="F79646" w:themeFill="accent6"/>
      </w:tcPr>
    </w:tblStylePr>
    <w:tblStylePr w:type="lastRow">
      <w:pPr>
        <w:spacing w:before="0" w:after="0" w:line="240" w:lineRule="auto"/>
      </w:pPr>
      <w:rPr>
        <w:color w:val="auto"/>
      </w:rPr>
      <w:tblPr/>
      <w:tcPr>
        <w:tcBorders>
          <w:top w:val="single" w:sz="6" w:space="0" w:color="000000"/>
          <w:left w:val="none" w:sz="4" w:space="0" w:color="000000"/>
          <w:bottom w:val="single" w:sz="18" w:space="0" w:color="000000"/>
          <w:right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000000"/>
          <w:right w:val="none" w:sz="4" w:space="0" w:color="000000"/>
        </w:tcBorders>
        <w:shd w:val="clear" w:color="auto" w:fill="F79646" w:themeFill="accent6"/>
      </w:tcPr>
    </w:tblStylePr>
    <w:tblStylePr w:type="lastCol">
      <w:rPr>
        <w:b/>
        <w:bCs/>
        <w:color w:val="FFFFFF" w:themeColor="background1"/>
      </w:rPr>
      <w:tblPr/>
      <w:tcPr>
        <w:tcBorders>
          <w:left w:val="none" w:sz="4" w:space="0" w:color="000000"/>
          <w:right w:val="none" w:sz="4" w:space="0" w:color="000000"/>
        </w:tcBorders>
        <w:shd w:val="clear" w:color="auto" w:fill="F79646" w:themeFill="accent6"/>
      </w:tcPr>
    </w:tblStylePr>
    <w:tblStylePr w:type="band1Vert">
      <w:tblPr/>
      <w:tcPr>
        <w:tcBorders>
          <w:left w:val="none" w:sz="4" w:space="0" w:color="000000"/>
          <w:right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000000"/>
          <w:left w:val="none" w:sz="4" w:space="0" w:color="000000"/>
          <w:bottom w:val="single" w:sz="18" w:space="0" w:color="000000"/>
          <w:right w:val="none" w:sz="4" w:space="0" w:color="000000"/>
        </w:tcBorders>
      </w:tcPr>
    </w:tblStylePr>
    <w:tblStylePr w:type="nwCell">
      <w:rPr>
        <w:color w:val="FFFFFF" w:themeColor="background1"/>
      </w:rPr>
      <w:tblPr/>
      <w:tcPr>
        <w:tcBorders>
          <w:top w:val="single" w:sz="18" w:space="0" w:color="000000"/>
          <w:left w:val="none" w:sz="4" w:space="0" w:color="000000"/>
          <w:bottom w:val="single" w:sz="18" w:space="0" w:color="000000"/>
          <w:right w:val="none" w:sz="4" w:space="0" w:color="000000"/>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one" w:sz="4" w:space="0" w:color="000000"/>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one" w:sz="4" w:space="0" w:color="000000"/>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one" w:sz="4" w:space="0" w:color="000000"/>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one" w:sz="4" w:space="0" w:color="000000"/>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one" w:sz="4" w:space="0" w:color="000000"/>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one" w:sz="4" w:space="0" w:color="000000"/>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top w:val="none" w:sz="4" w:space="0" w:color="000000"/>
          <w:bottom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one" w:sz="4" w:space="0" w:color="000000"/>
          <w:left w:val="none" w:sz="4" w:space="0" w:color="000000"/>
          <w:bottom w:val="single" w:sz="24" w:space="0" w:color="4F81BD" w:themeColor="accent1"/>
          <w:right w:val="none" w:sz="4" w:space="0" w:color="000000"/>
        </w:tcBorders>
        <w:shd w:val="clear" w:color="auto" w:fill="FFFFFF" w:themeFill="background1"/>
      </w:tcPr>
    </w:tblStylePr>
    <w:tblStylePr w:type="lastRow">
      <w:tblPr/>
      <w:tcPr>
        <w:tcBorders>
          <w:top w:val="single" w:sz="8" w:space="0" w:color="4F81BD" w:themeColor="accent1"/>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F81BD" w:themeColor="accent1"/>
        </w:tcBorders>
        <w:shd w:val="clear" w:color="auto" w:fill="FFFFFF" w:themeFill="background1"/>
      </w:tcPr>
    </w:tblStylePr>
    <w:tblStylePr w:type="lastCol">
      <w:tblPr/>
      <w:tcPr>
        <w:tcBorders>
          <w:top w:val="none" w:sz="4" w:space="0" w:color="000000"/>
          <w:left w:val="single" w:sz="8" w:space="0" w:color="4F81BD" w:themeColor="accent1"/>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3DFEE" w:themeFill="accent1" w:themeFillTint="3F"/>
      </w:tcPr>
    </w:tblStylePr>
    <w:tblStylePr w:type="band1Horz">
      <w:tblPr/>
      <w:tcPr>
        <w:tcBorders>
          <w:top w:val="none" w:sz="4" w:space="0" w:color="000000"/>
          <w:bottom w:val="none" w:sz="4" w:space="0" w:color="000000"/>
        </w:tcBorders>
        <w:shd w:val="clear" w:color="auto" w:fill="D3DFEE"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tblPr/>
      <w:tcPr>
        <w:tcBorders>
          <w:top w:val="single" w:sz="8" w:space="0" w:color="C0504D" w:themeColor="accent2"/>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504D" w:themeColor="accent2"/>
        </w:tcBorders>
        <w:shd w:val="clear" w:color="auto" w:fill="FFFFFF" w:themeFill="background1"/>
      </w:tcPr>
    </w:tblStylePr>
    <w:tblStylePr w:type="lastCol">
      <w:tblPr/>
      <w:tcPr>
        <w:tcBorders>
          <w:top w:val="none" w:sz="4" w:space="0" w:color="000000"/>
          <w:left w:val="single" w:sz="8" w:space="0" w:color="C0504D" w:themeColor="accent2"/>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FD3D2" w:themeFill="accent2" w:themeFillTint="3F"/>
      </w:tcPr>
    </w:tblStylePr>
    <w:tblStylePr w:type="band1Horz">
      <w:tblPr/>
      <w:tcPr>
        <w:tcBorders>
          <w:top w:val="none" w:sz="4" w:space="0" w:color="000000"/>
          <w:bottom w:val="none" w:sz="4" w:space="0" w:color="000000"/>
        </w:tcBorders>
        <w:shd w:val="clear" w:color="auto" w:fill="EFD3D2"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tblPr/>
      <w:tcPr>
        <w:tcBorders>
          <w:top w:val="single" w:sz="8" w:space="0" w:color="9BBB59" w:themeColor="accent3"/>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9BBB59" w:themeColor="accent3"/>
        </w:tcBorders>
        <w:shd w:val="clear" w:color="auto" w:fill="FFFFFF" w:themeFill="background1"/>
      </w:tcPr>
    </w:tblStylePr>
    <w:tblStylePr w:type="lastCol">
      <w:tblPr/>
      <w:tcPr>
        <w:tcBorders>
          <w:top w:val="none" w:sz="4" w:space="0" w:color="000000"/>
          <w:left w:val="single" w:sz="8" w:space="0" w:color="9BBB59" w:themeColor="accent3"/>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E6EED5" w:themeFill="accent3" w:themeFillTint="3F"/>
      </w:tcPr>
    </w:tblStylePr>
    <w:tblStylePr w:type="band1Horz">
      <w:tblPr/>
      <w:tcPr>
        <w:tcBorders>
          <w:top w:val="none" w:sz="4" w:space="0" w:color="000000"/>
          <w:bottom w:val="none" w:sz="4" w:space="0" w:color="000000"/>
        </w:tcBorders>
        <w:shd w:val="clear" w:color="auto" w:fill="E6EED5"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tblPr/>
      <w:tcPr>
        <w:tcBorders>
          <w:top w:val="single" w:sz="8" w:space="0" w:color="8064A2" w:themeColor="accent4"/>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8064A2" w:themeColor="accent4"/>
        </w:tcBorders>
        <w:shd w:val="clear" w:color="auto" w:fill="FFFFFF" w:themeFill="background1"/>
      </w:tcPr>
    </w:tblStylePr>
    <w:tblStylePr w:type="lastCol">
      <w:tblPr/>
      <w:tcPr>
        <w:tcBorders>
          <w:top w:val="none" w:sz="4" w:space="0" w:color="000000"/>
          <w:left w:val="single" w:sz="8" w:space="0" w:color="8064A2" w:themeColor="accent4"/>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FD8E8" w:themeFill="accent4" w:themeFillTint="3F"/>
      </w:tcPr>
    </w:tblStylePr>
    <w:tblStylePr w:type="band1Horz">
      <w:tblPr/>
      <w:tcPr>
        <w:tcBorders>
          <w:top w:val="none" w:sz="4" w:space="0" w:color="000000"/>
          <w:bottom w:val="none" w:sz="4" w:space="0" w:color="000000"/>
        </w:tcBorders>
        <w:shd w:val="clear" w:color="auto" w:fill="DFD8E8"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tblPr/>
      <w:tcPr>
        <w:tcBorders>
          <w:top w:val="single" w:sz="8" w:space="0" w:color="4BACC6" w:themeColor="accent5"/>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BACC6" w:themeColor="accent5"/>
        </w:tcBorders>
        <w:shd w:val="clear" w:color="auto" w:fill="FFFFFF" w:themeFill="background1"/>
      </w:tcPr>
    </w:tblStylePr>
    <w:tblStylePr w:type="lastCol">
      <w:tblPr/>
      <w:tcPr>
        <w:tcBorders>
          <w:top w:val="none" w:sz="4" w:space="0" w:color="000000"/>
          <w:left w:val="single" w:sz="8" w:space="0" w:color="4BACC6" w:themeColor="accent5"/>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D2EAF1" w:themeFill="accent5" w:themeFillTint="3F"/>
      </w:tcPr>
    </w:tblStylePr>
    <w:tblStylePr w:type="band1Horz">
      <w:tblPr/>
      <w:tcPr>
        <w:tcBorders>
          <w:top w:val="none" w:sz="4" w:space="0" w:color="000000"/>
          <w:bottom w:val="none" w:sz="4" w:space="0" w:color="000000"/>
        </w:tcBorders>
        <w:shd w:val="clear" w:color="auto" w:fill="D2EAF1"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tblPr/>
      <w:tcPr>
        <w:tcBorders>
          <w:top w:val="single" w:sz="8" w:space="0" w:color="F79646" w:themeColor="accent6"/>
          <w:left w:val="none" w:sz="4" w:space="0" w:color="000000"/>
          <w:bottom w:val="none" w:sz="4" w:space="0" w:color="000000"/>
          <w:right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F79646" w:themeColor="accent6"/>
        </w:tcBorders>
        <w:shd w:val="clear" w:color="auto" w:fill="FFFFFF" w:themeFill="background1"/>
      </w:tcPr>
    </w:tblStylePr>
    <w:tblStylePr w:type="lastCol">
      <w:tblPr/>
      <w:tcPr>
        <w:tcBorders>
          <w:top w:val="none" w:sz="4" w:space="0" w:color="000000"/>
          <w:left w:val="single" w:sz="8" w:space="0" w:color="F79646" w:themeColor="accent6"/>
          <w:bottom w:val="none" w:sz="4" w:space="0" w:color="000000"/>
          <w:right w:val="none" w:sz="4" w:space="0" w:color="000000"/>
        </w:tcBorders>
        <w:shd w:val="clear" w:color="auto" w:fill="FFFFFF" w:themeFill="background1"/>
      </w:tcPr>
    </w:tblStylePr>
    <w:tblStylePr w:type="band1Vert">
      <w:tblPr/>
      <w:tcPr>
        <w:tcBorders>
          <w:left w:val="none" w:sz="4" w:space="0" w:color="000000"/>
          <w:right w:val="none" w:sz="4" w:space="0" w:color="000000"/>
        </w:tcBorders>
        <w:shd w:val="clear" w:color="auto" w:fill="FDE4D0" w:themeFill="accent6" w:themeFillTint="3F"/>
      </w:tcPr>
    </w:tblStylePr>
    <w:tblStylePr w:type="band1Horz">
      <w:tblPr/>
      <w:tcPr>
        <w:tcBorders>
          <w:top w:val="none" w:sz="4" w:space="0" w:color="000000"/>
          <w:bottom w:val="none" w:sz="4" w:space="0" w:color="000000"/>
        </w:tcBorders>
        <w:shd w:val="clear" w:color="auto" w:fill="FDE4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BE5F1" w:themeFill="accent1" w:themeFillTint="33"/>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2DBDB" w:themeFill="accent2" w:themeFillTint="33"/>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AF1DD" w:themeFill="accent3" w:themeFillTint="33"/>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E5DFEC" w:themeFill="accent4" w:themeFillTint="33"/>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DAEEF3" w:themeFill="accent5" w:themeFillTint="33"/>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tcBorders>
        <w:shd w:val="clear" w:color="auto" w:fill="FDE9D9" w:themeFill="accent6" w:themeFillTint="33"/>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F81BD"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C050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9BBB59"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8064A2"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4BACC6"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tcBorders>
        <w:shd w:val="clear" w:color="auto" w:fill="F79646"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CAA2" w:themeFill="accent6" w:themeFillTint="7F"/>
      </w:tcPr>
    </w:tblStyle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43F6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65F91"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65F91" w:themeFill="accent1"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622423"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943634"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943634" w:themeFill="accent2"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4E6128"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76923C"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76923C" w:themeFill="accent3"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3F3151"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5F497A"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5F497A" w:themeFill="accent4"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205867"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31849B"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31849B" w:themeFill="accent5"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tcBorders>
        <w:shd w:val="clear" w:color="auto" w:fill="974706"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tcBorders>
        <w:shd w:val="clear" w:color="auto" w:fill="E36C0A"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tcBorders>
        <w:shd w:val="clear" w:color="auto" w:fill="E36C0A" w:themeFill="accent6" w:themeFillShade="BF"/>
      </w:tcPr>
    </w:tblStylePr>
    <w:tblStylePr w:type="band1Vert">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tblStylePr w:type="band1Horz">
      <w:tblPr/>
      <w:tcPr>
        <w:tcBorders>
          <w:top w:val="none" w:sz="4" w:space="0" w:color="000000"/>
          <w:left w:val="none" w:sz="4" w:space="0" w:color="000000"/>
          <w:bottom w:val="none" w:sz="4" w:space="0" w:color="000000"/>
          <w:right w:val="none" w:sz="4" w:space="0" w:color="000000"/>
        </w:tcBorders>
        <w:shd w:val="clear" w:color="auto" w:fill="E36C0A" w:themeFill="accent6" w:themeFillShade="BF"/>
      </w:tcPr>
    </w:tblStylePr>
  </w:style>
  <w:style w:type="table" w:styleId="Colou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one" w:sz="4" w:space="0" w:color="000000"/>
          <w:left w:val="none" w:sz="4" w:space="0" w:color="000000"/>
          <w:bottom w:val="single" w:sz="24" w:space="0" w:color="8064A2" w:themeColor="accent4"/>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one" w:sz="4" w:space="0" w:color="000000"/>
          <w:left w:val="none" w:sz="4" w:space="0" w:color="000000"/>
          <w:bottom w:val="single" w:sz="24" w:space="0" w:color="9BBB59" w:themeColor="accent3"/>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one" w:sz="4" w:space="0" w:color="000000"/>
          <w:left w:val="none" w:sz="4" w:space="0" w:color="000000"/>
          <w:bottom w:val="single" w:sz="24" w:space="0" w:color="F79646" w:themeColor="accent6"/>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one" w:sz="4" w:space="0" w:color="000000"/>
          <w:left w:val="none" w:sz="4" w:space="0" w:color="000000"/>
          <w:bottom w:val="single" w:sz="24" w:space="0" w:color="4BACC6" w:themeColor="accent5"/>
          <w:right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627</Words>
  <Characters>3580</Characters>
  <Application>Microsoft Office Word</Application>
  <DocSecurity>0</DocSecurity>
  <Lines>29</Lines>
  <Paragraphs>8</Paragraphs>
  <ScaleCrop>false</ScaleCrop>
  <Manager/>
  <Company/>
  <LinksUpToDate>false</LinksUpToDate>
  <CharactersWithSpaces>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Gerry Barwick</cp:lastModifiedBy>
  <cp:revision>6</cp:revision>
  <dcterms:created xsi:type="dcterms:W3CDTF">2013-12-23T23:15:00Z</dcterms:created>
  <dcterms:modified xsi:type="dcterms:W3CDTF">2025-05-07T09:31:00Z</dcterms:modified>
  <cp:category/>
</cp:coreProperties>
</file>